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AE80" w14:textId="49439964" w:rsidR="003C2ADF" w:rsidRDefault="00681921" w:rsidP="003C2ADF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3E3B13A1" w14:textId="1B3E88D4" w:rsidR="003C2ADF" w:rsidRPr="008C5493" w:rsidRDefault="003C2ADF" w:rsidP="003C2ADF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въезда и выезда транспортных средств собственников помещений и иных лиц на придомовую территорию многоквартирного дома, расположенного по адресу: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Москва, </w:t>
      </w:r>
      <w:r w:rsidR="0004571C">
        <w:rPr>
          <w:rFonts w:ascii="Times New Roman" w:eastAsia="Times New Roman" w:hAnsi="Times New Roman" w:cs="Times New Roman"/>
          <w:b/>
          <w:bCs/>
          <w:sz w:val="28"/>
          <w:szCs w:val="28"/>
        </w:rPr>
        <w:t>улица Староволынская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дом 1</w:t>
      </w:r>
      <w:r w:rsidR="000457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2, корпус </w:t>
      </w:r>
      <w:r w:rsidR="00B06D8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7B6CEAFD" w14:textId="77777777" w:rsidR="003C2ADF" w:rsidRDefault="003C2ADF" w:rsidP="003C2A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FF482" w14:textId="77777777" w:rsidR="003C2ADF" w:rsidRDefault="003C2ADF" w:rsidP="003C2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3D3D7CB" w14:textId="1BEE240F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въезда и выезда транспортных средств собственников помещений в многоквартирном доме и иных лиц на придомовую территорию </w:t>
      </w:r>
      <w:r w:rsidRPr="008C5493">
        <w:rPr>
          <w:rFonts w:ascii="Times New Roman" w:hAnsi="Times New Roman" w:cs="Times New Roman"/>
          <w:sz w:val="28"/>
          <w:szCs w:val="28"/>
        </w:rPr>
        <w:t xml:space="preserve">многоквартирного дома, расположенного по адресу: г. Москва, </w:t>
      </w:r>
      <w:r w:rsidR="0004571C">
        <w:rPr>
          <w:rFonts w:ascii="Times New Roman" w:hAnsi="Times New Roman" w:cs="Times New Roman"/>
          <w:sz w:val="28"/>
          <w:szCs w:val="28"/>
        </w:rPr>
        <w:t>улица Староволынская</w:t>
      </w:r>
      <w:r w:rsidRPr="008C5493">
        <w:rPr>
          <w:rFonts w:ascii="Times New Roman" w:hAnsi="Times New Roman" w:cs="Times New Roman"/>
          <w:sz w:val="28"/>
          <w:szCs w:val="28"/>
        </w:rPr>
        <w:t>, дом 1</w:t>
      </w:r>
      <w:r w:rsidR="0004571C">
        <w:rPr>
          <w:rFonts w:ascii="Times New Roman" w:hAnsi="Times New Roman" w:cs="Times New Roman"/>
          <w:sz w:val="28"/>
          <w:szCs w:val="28"/>
        </w:rPr>
        <w:t xml:space="preserve">2, корпус </w:t>
      </w:r>
      <w:r w:rsidR="00B06D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Регламент) разработан в соответствии с Постановлением Правительства Москвы от 2 июля 2013 г. № 428-ПП «О порядке установки ограждений на придомовых территориях в городе Москве» и на основании Жилищного кодекса РФ, Гражданского кодекса РФ, Правил содержания общего имущества в многоквартирном доме, утверждённых Постановлением Правительства РФ № 491 от 13.08.2006 г., других актов и норм действующего законодательства РФ.</w:t>
      </w:r>
    </w:p>
    <w:p w14:paraId="210A8C45" w14:textId="02877EA2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Основной целью данного Регламента является создание на придомовой территории условий в максимальной степени совмещающих интересы автовладельцев с интересами всех собственников помещений в многоквартирном доме (далее по тексту – МКД).</w:t>
      </w:r>
    </w:p>
    <w:p w14:paraId="2CB400EB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Основными задачами данного Регламента являются:</w:t>
      </w:r>
    </w:p>
    <w:p w14:paraId="109406A6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 Обеспечение организации въезда и выезда автомобильного транспорта на придомовой территории.</w:t>
      </w:r>
    </w:p>
    <w:p w14:paraId="19CFC887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 Создание условий для круглосуточного и беспрепятственного проезда на придомовую территорию служебного и специального автотранспорта;</w:t>
      </w:r>
    </w:p>
    <w:p w14:paraId="534C9BB0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 Создание максимально безопасных условий нахождения на придомовой территории жильцов МКД;</w:t>
      </w:r>
    </w:p>
    <w:p w14:paraId="3CFD9511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 Обеспечение сохранности элементов благоустройства, озеленения и малых архитектурных форм, ландшафтного дизайна на придомовой территории.</w:t>
      </w:r>
    </w:p>
    <w:p w14:paraId="674C76C1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. Придомовая территория предназначена для совместного ее использования следующими лицами (далее в тексте настоящего Регламента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>совместно именуемыми «жильцы»):</w:t>
      </w:r>
    </w:p>
    <w:p w14:paraId="7B74B22F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.1. собственниками жилых и нежилых п</w:t>
      </w:r>
      <w:r>
        <w:rPr>
          <w:rFonts w:ascii="Times New Roman" w:hAnsi="Times New Roman" w:cs="Times New Roman"/>
          <w:color w:val="000000"/>
          <w:sz w:val="28"/>
          <w:szCs w:val="28"/>
        </w:rPr>
        <w:t>омещений многоквартирного дома;</w:t>
      </w:r>
    </w:p>
    <w:p w14:paraId="46E4C0BE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.2. лицами, проживающими в доме на основании договоров социального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иного 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найма;</w:t>
      </w:r>
    </w:p>
    <w:p w14:paraId="50C302AD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.3. лицами, проживающими с собственниками на ос</w:t>
      </w:r>
      <w:r>
        <w:rPr>
          <w:rFonts w:ascii="Times New Roman" w:hAnsi="Times New Roman" w:cs="Times New Roman"/>
          <w:color w:val="000000"/>
          <w:sz w:val="28"/>
          <w:szCs w:val="28"/>
        </w:rPr>
        <w:t>новании постоянной регистрации;</w:t>
      </w:r>
    </w:p>
    <w:p w14:paraId="1C652D03" w14:textId="416B62CB" w:rsidR="003C2ADF" w:rsidRPr="00681921" w:rsidRDefault="003C2ADF" w:rsidP="00681921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A0F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.4. лицами, арендующими нежилые помещения на основании договоров аренды.</w:t>
      </w:r>
    </w:p>
    <w:p w14:paraId="707C961E" w14:textId="77777777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Иными лицами, не являющиеся жильцами (работники офисов, расположенных в нежилых помещениях, посетители, гости, курьеры, такси и иные транспортные услуги).</w:t>
      </w:r>
    </w:p>
    <w:p w14:paraId="7697E86B" w14:textId="76E821F5" w:rsidR="003C2ADF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Собственники </w:t>
      </w:r>
      <w:r w:rsidR="00681921">
        <w:rPr>
          <w:rFonts w:ascii="Times New Roman" w:hAnsi="Times New Roman" w:cs="Times New Roman"/>
          <w:sz w:val="28"/>
          <w:szCs w:val="28"/>
        </w:rPr>
        <w:t xml:space="preserve">жилых и нежилых </w:t>
      </w:r>
      <w:r>
        <w:rPr>
          <w:rFonts w:ascii="Times New Roman" w:hAnsi="Times New Roman" w:cs="Times New Roman"/>
          <w:sz w:val="28"/>
          <w:szCs w:val="28"/>
        </w:rPr>
        <w:t>помещений, передающие свои помещения в аренду или иное пользование третьим лицам, обязаны ознакомить своих арендаторов</w:t>
      </w:r>
      <w:r w:rsidR="00681921">
        <w:rPr>
          <w:rFonts w:ascii="Times New Roman" w:hAnsi="Times New Roman" w:cs="Times New Roman"/>
          <w:sz w:val="28"/>
          <w:szCs w:val="28"/>
        </w:rPr>
        <w:t xml:space="preserve"> (нанимателей)</w:t>
      </w:r>
      <w:r>
        <w:rPr>
          <w:rFonts w:ascii="Times New Roman" w:hAnsi="Times New Roman" w:cs="Times New Roman"/>
          <w:sz w:val="28"/>
          <w:szCs w:val="28"/>
        </w:rPr>
        <w:t xml:space="preserve"> с настоящим </w:t>
      </w:r>
      <w:r w:rsidR="00681921">
        <w:rPr>
          <w:rFonts w:ascii="Times New Roman" w:hAnsi="Times New Roman" w:cs="Times New Roman"/>
          <w:sz w:val="28"/>
          <w:szCs w:val="28"/>
        </w:rPr>
        <w:t>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и требовать от них его исполнения. </w:t>
      </w:r>
    </w:p>
    <w:p w14:paraId="3CBC43E3" w14:textId="77777777" w:rsidR="003C2ADF" w:rsidRPr="008D17A1" w:rsidRDefault="003C2ADF" w:rsidP="003C2AD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52E6A" w14:textId="77777777" w:rsidR="003C2ADF" w:rsidRDefault="003C2ADF" w:rsidP="003C2A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Правила въезда на территорию дома</w:t>
      </w:r>
    </w:p>
    <w:p w14:paraId="19524EE9" w14:textId="48BE51F0" w:rsidR="003C2ADF" w:rsidRDefault="003C2ADF" w:rsidP="003C2AD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Придомовая территория может быть использована лицами, перечисленными в п.1.</w:t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 настоящ</w:t>
      </w:r>
      <w:r w:rsidR="00681921">
        <w:rPr>
          <w:rFonts w:ascii="Times New Roman" w:hAnsi="Times New Roman" w:cs="Times New Roman"/>
          <w:color w:val="000000"/>
          <w:sz w:val="28"/>
          <w:szCs w:val="28"/>
        </w:rPr>
        <w:t>его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>, для следующих целей:</w:t>
      </w:r>
    </w:p>
    <w:p w14:paraId="05A9EF2E" w14:textId="05781108" w:rsidR="003C2ADF" w:rsidRDefault="003C2ADF" w:rsidP="003C2AD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 беспрепятственного въезда и выезда на личном транспорте, а именно: легковых автомобилях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мотоциклах, мопедах, скутерах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 и иных транспортных средствах с разрешенной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аксимальной массой </w:t>
      </w:r>
      <w:r w:rsidR="00681921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3,5 т;</w:t>
      </w:r>
    </w:p>
    <w:p w14:paraId="63496378" w14:textId="77777777" w:rsidR="003C2ADF" w:rsidRDefault="003C2ADF" w:rsidP="003C2ADF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.2. временного хранения личного транспорта.</w:t>
      </w:r>
    </w:p>
    <w:p w14:paraId="1179CF6F" w14:textId="77777777" w:rsidR="003C2AD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6B5A0F">
        <w:rPr>
          <w:color w:val="000000"/>
          <w:sz w:val="28"/>
          <w:szCs w:val="28"/>
        </w:rPr>
        <w:t>В рамках настоящ</w:t>
      </w:r>
      <w:r>
        <w:rPr>
          <w:color w:val="000000"/>
          <w:sz w:val="28"/>
          <w:szCs w:val="28"/>
        </w:rPr>
        <w:t>его</w:t>
      </w:r>
      <w:r w:rsidRPr="006B5A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Регламента</w:t>
      </w:r>
      <w:r w:rsidRPr="006B5A0F">
        <w:rPr>
          <w:color w:val="000000"/>
          <w:sz w:val="28"/>
          <w:szCs w:val="28"/>
        </w:rPr>
        <w:t xml:space="preserve"> личным транспортом являются следующие категории:</w:t>
      </w:r>
    </w:p>
    <w:p w14:paraId="09178AD4" w14:textId="77777777" w:rsidR="003C2AD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.1. транспортные средства, принадлежащие жильцам на праве частной собственности (подтверждается Свидетельством о регис</w:t>
      </w:r>
      <w:r>
        <w:rPr>
          <w:color w:val="000000"/>
          <w:sz w:val="28"/>
          <w:szCs w:val="28"/>
        </w:rPr>
        <w:t>трации транспортного средства);</w:t>
      </w:r>
    </w:p>
    <w:p w14:paraId="67358EA7" w14:textId="77777777" w:rsidR="003C2AD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.2. транспортные средства, используемые жильцами на основе долгосрочных договоров лизинга или аренды между юридическим и физическим лицом. Долгосрочными договорами лизинга или аренды в рамках настоящих Правил являются договоры, заключенные на срок от 6 месяцев и более (подтверждается Свидетельством о регистрации транспортного средства и</w:t>
      </w:r>
      <w:r>
        <w:rPr>
          <w:color w:val="000000"/>
          <w:sz w:val="28"/>
          <w:szCs w:val="28"/>
        </w:rPr>
        <w:t xml:space="preserve"> договором лизинга или аренды);</w:t>
      </w:r>
    </w:p>
    <w:p w14:paraId="0CAE79E2" w14:textId="77777777" w:rsidR="003C2AD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.3. транспортные средства, оформленные на физических лиц, состоящих в родстве с жильцами, но фактически используемыми жильцами (подтверждается Свидетельством о регистрации транспортного средства, полисом ОСАГО, доверенностью на управл</w:t>
      </w:r>
      <w:r>
        <w:rPr>
          <w:color w:val="000000"/>
          <w:sz w:val="28"/>
          <w:szCs w:val="28"/>
        </w:rPr>
        <w:t>ение автомобилем (при наличии);</w:t>
      </w:r>
    </w:p>
    <w:p w14:paraId="1C868515" w14:textId="77777777" w:rsidR="003C2ADF" w:rsidRPr="006B5A0F" w:rsidRDefault="003C2ADF" w:rsidP="003C2A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B5A0F">
        <w:rPr>
          <w:color w:val="000000"/>
          <w:sz w:val="28"/>
          <w:szCs w:val="28"/>
        </w:rPr>
        <w:t>.4. транспортные средства, принадлежащие на праве собственности или на основе долгосрочных договоров лизинга или аренды юридическим лицам или индивидуальным предпринимателям, являющимся собственниками или арендаторами помещений в многоквартирном доме (подтверждается Свидетельством о регистрации транспортного средства и соответствующими договорами).</w:t>
      </w:r>
    </w:p>
    <w:p w14:paraId="6FAC3005" w14:textId="77777777" w:rsidR="003C2ADF" w:rsidRPr="005C0653" w:rsidRDefault="003C2ADF" w:rsidP="003C2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. Не являются личным транспортом транспортные средства, находящиеся в собственности у юридических лиц, за исключением случаев, если юридическое лицо является собственником или арендатором помещений в многоквартирном доме или если сдает транспортные средства в долгосрочный лизинг или аренду жильцам дома. Также не являются личным транспортом автомобили, предназначенные для коммерческого использования, а именно: </w:t>
      </w:r>
      <w:proofErr w:type="gramStart"/>
      <w:r w:rsidRPr="006B5A0F">
        <w:rPr>
          <w:rFonts w:ascii="Times New Roman" w:hAnsi="Times New Roman" w:cs="Times New Roman"/>
          <w:color w:val="000000"/>
          <w:sz w:val="28"/>
          <w:szCs w:val="28"/>
        </w:rPr>
        <w:t>такси</w:t>
      </w:r>
      <w:proofErr w:type="gramEnd"/>
      <w:r w:rsidRPr="006B5A0F">
        <w:rPr>
          <w:rFonts w:ascii="Times New Roman" w:hAnsi="Times New Roman" w:cs="Times New Roman"/>
          <w:color w:val="000000"/>
          <w:sz w:val="28"/>
          <w:szCs w:val="28"/>
        </w:rPr>
        <w:t xml:space="preserve"> лицензированные под перевозку пассажиров, микроавтобусы и грузовые автомобили.</w:t>
      </w:r>
    </w:p>
    <w:p w14:paraId="3BBB3544" w14:textId="0310DB5C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Въезд на придомовую территорию автотранспорта не являющимися личными транспортом жильцов осуществляется строго по заявке </w:t>
      </w:r>
      <w:r w:rsidR="00B07E22">
        <w:rPr>
          <w:rFonts w:ascii="Times New Roman" w:hAnsi="Times New Roman" w:cs="Times New Roman"/>
          <w:sz w:val="28"/>
          <w:szCs w:val="28"/>
        </w:rPr>
        <w:t xml:space="preserve">на пост охраны </w:t>
      </w:r>
      <w:r>
        <w:rPr>
          <w:rFonts w:ascii="Times New Roman" w:hAnsi="Times New Roman" w:cs="Times New Roman"/>
          <w:sz w:val="28"/>
          <w:szCs w:val="28"/>
        </w:rPr>
        <w:t>от собственника</w:t>
      </w:r>
      <w:r w:rsidR="0004571C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от заявленных собственником доверенных лиц (о которых также сделана соответствующая запись в журнале). Также заявку может подать </w:t>
      </w:r>
      <w:r>
        <w:rPr>
          <w:rFonts w:ascii="Times New Roman" w:hAnsi="Times New Roman" w:cs="Times New Roman"/>
          <w:sz w:val="28"/>
          <w:szCs w:val="28"/>
        </w:rPr>
        <w:lastRenderedPageBreak/>
        <w:t>арендатор квартиры или помещения, имеющий договор аренды (при предъявлении договора) и его доверенные лица.</w:t>
      </w:r>
    </w:p>
    <w:p w14:paraId="17F73883" w14:textId="228B77F0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Въезд на территорию дома личным транспортом осуществляется строго по реестру (при первом обращении – с предъявлением подтверждающих документов о транспортном средстве для включения в реестр), из расчета </w:t>
      </w:r>
      <w:r w:rsidR="000457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автотранспортных средства на 1 жилое помещение и 1 автотранспортное средство на каждые </w:t>
      </w:r>
      <w:r w:rsidR="00E27AD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нежилого помещения.</w:t>
      </w:r>
    </w:p>
    <w:p w14:paraId="023FC605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Въезд на территорию жилого дома допускается по заявке для целей:</w:t>
      </w:r>
    </w:p>
    <w:p w14:paraId="639C6BC8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погрузки/разгрузки груза габаритами более 170 см по сумме трех измерений и/или весом более 30 кг (в том числе общий вес и габариты грузов при переезде/ремонте);</w:t>
      </w:r>
    </w:p>
    <w:p w14:paraId="02DFB9D2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посадки/высадки пассажиров с нарушениями функций опорно-двигательного аппарата;</w:t>
      </w:r>
    </w:p>
    <w:p w14:paraId="5BE84F7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посадки/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высадки пассажиров с автотранспортных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лицензированные под перевозку пассажиров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84BA9A1" w14:textId="1C5A812D" w:rsidR="00681921" w:rsidRDefault="003C2ADF" w:rsidP="00681921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возникновении каких-либо ситуаций, не предусмотренных настоящим регламентом, предусмотрен пропуск транспортного средства по решению </w:t>
      </w:r>
      <w:r w:rsidR="0004571C">
        <w:rPr>
          <w:rFonts w:ascii="Times New Roman" w:hAnsi="Times New Roman" w:cs="Times New Roman"/>
          <w:sz w:val="28"/>
          <w:szCs w:val="28"/>
        </w:rPr>
        <w:t>старшего администратора-контролера</w:t>
      </w:r>
      <w:r>
        <w:rPr>
          <w:rFonts w:ascii="Times New Roman" w:hAnsi="Times New Roman" w:cs="Times New Roman"/>
          <w:sz w:val="28"/>
          <w:szCs w:val="28"/>
        </w:rPr>
        <w:t xml:space="preserve"> с обязательной записью в журнал причины такого решения</w:t>
      </w:r>
      <w:r w:rsidR="006819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6BC507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В заявке должно быть отображено: марка и номер машины, ФИО собственника/арендатора, цель въезда (в т.ч. номер квартиры или помещения, для которой осуществляется погрузка/разгрузка).</w:t>
      </w:r>
    </w:p>
    <w:p w14:paraId="287258F6" w14:textId="77777777" w:rsidR="003C2ADF" w:rsidRPr="002A0BB5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2.6.2. Заявку следует подавать заблаговременно – не менее, чем за 2</w:t>
      </w:r>
      <w:r w:rsidRPr="00EC13A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(двадцать) минут до заезда.</w:t>
      </w:r>
    </w:p>
    <w:p w14:paraId="45CBB0C8" w14:textId="77777777" w:rsidR="003C2ADF" w:rsidRPr="00886854" w:rsidRDefault="003C2ADF" w:rsidP="003C2ADF">
      <w:pPr>
        <w:numPr>
          <w:ilvl w:val="1"/>
          <w:numId w:val="1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заявки </w:t>
      </w:r>
      <w:r w:rsidRPr="006B5A0F">
        <w:rPr>
          <w:rFonts w:ascii="Times New Roman" w:hAnsi="Times New Roman" w:cs="Times New Roman"/>
          <w:color w:val="000000"/>
          <w:sz w:val="28"/>
          <w:szCs w:val="28"/>
        </w:rPr>
        <w:t>обеспечивается круглосуточный и беспрепятственный проезд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действий</w:t>
      </w:r>
      <w:r>
        <w:rPr>
          <w:rFonts w:ascii="Times New Roman" w:hAnsi="Times New Roman" w:cs="Times New Roman"/>
          <w:sz w:val="28"/>
          <w:szCs w:val="28"/>
        </w:rPr>
        <w:t>, машины инженерных служб.</w:t>
      </w:r>
    </w:p>
    <w:p w14:paraId="3249B336" w14:textId="7586F053" w:rsidR="003C2ADF" w:rsidRPr="00886854" w:rsidRDefault="003C2ADF" w:rsidP="003C2ADF">
      <w:pPr>
        <w:numPr>
          <w:ilvl w:val="1"/>
          <w:numId w:val="1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 на территорию дома возможен после </w:t>
      </w:r>
      <w:r w:rsidR="0004571C">
        <w:rPr>
          <w:rFonts w:ascii="Times New Roman" w:hAnsi="Times New Roman" w:cs="Times New Roman"/>
          <w:sz w:val="28"/>
          <w:szCs w:val="28"/>
        </w:rPr>
        <w:t xml:space="preserve">регистрации автотранспортного средства в журнале учета </w:t>
      </w:r>
      <w:r>
        <w:rPr>
          <w:rFonts w:ascii="Times New Roman" w:hAnsi="Times New Roman" w:cs="Times New Roman"/>
          <w:sz w:val="28"/>
          <w:szCs w:val="28"/>
        </w:rPr>
        <w:t>(за исключением личного транспорта) с указанием времени заезда.</w:t>
      </w:r>
    </w:p>
    <w:p w14:paraId="7DFAA3E4" w14:textId="77777777" w:rsidR="003C2ADF" w:rsidRDefault="003C2ADF" w:rsidP="003C2ADF">
      <w:pPr>
        <w:numPr>
          <w:ilvl w:val="1"/>
          <w:numId w:val="1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EE5">
        <w:rPr>
          <w:rFonts w:ascii="Times New Roman" w:hAnsi="Times New Roman" w:cs="Times New Roman"/>
          <w:color w:val="000000"/>
          <w:sz w:val="28"/>
          <w:szCs w:val="28"/>
        </w:rPr>
        <w:t xml:space="preserve">Въезд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придомовую </w:t>
      </w:r>
      <w:r w:rsidRPr="00ED6EE5">
        <w:rPr>
          <w:rFonts w:ascii="Times New Roman" w:hAnsi="Times New Roman" w:cs="Times New Roman"/>
          <w:color w:val="000000"/>
          <w:sz w:val="28"/>
          <w:szCs w:val="28"/>
        </w:rPr>
        <w:t>территорию допускается в случаях, указанных в пункте 2.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6EE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A469A">
        <w:rPr>
          <w:rFonts w:ascii="Times New Roman" w:hAnsi="Times New Roman" w:cs="Times New Roman"/>
          <w:color w:val="000000"/>
          <w:sz w:val="28"/>
          <w:szCs w:val="28"/>
        </w:rPr>
        <w:t>а также для временного хранения личного транспорт</w:t>
      </w:r>
      <w:r>
        <w:rPr>
          <w:rFonts w:ascii="Times New Roman" w:hAnsi="Times New Roman" w:cs="Times New Roman"/>
          <w:color w:val="000000"/>
          <w:sz w:val="28"/>
          <w:szCs w:val="28"/>
        </w:rPr>
        <w:t>а жильцов без заявки по реестру.</w:t>
      </w:r>
      <w:r w:rsidRPr="00ED6E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6E56B8" w14:textId="77777777" w:rsidR="003C2ADF" w:rsidRDefault="003C2ADF" w:rsidP="003C2ADF">
      <w:pPr>
        <w:spacing w:after="0" w:line="257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1921C" w14:textId="77777777" w:rsidR="003C2ADF" w:rsidRDefault="003C2ADF" w:rsidP="003C2ADF">
      <w:pPr>
        <w:spacing w:after="0" w:line="257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Ограничения, запреты действующие на территории дома</w:t>
      </w:r>
    </w:p>
    <w:p w14:paraId="564EF7AA" w14:textId="6BC8531D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Стоянка автотранспорта для целей погрузки/разгрузки разрешается не более 45 минут. В случае, если выполняемые работы по погрузке/разгрузке требуют большего времени, период стоянки может быть продлён до завершения работ при своевременном извещении </w:t>
      </w:r>
      <w:r w:rsidR="0004571C">
        <w:rPr>
          <w:rFonts w:ascii="Times New Roman" w:hAnsi="Times New Roman" w:cs="Times New Roman"/>
          <w:color w:val="000000"/>
          <w:sz w:val="28"/>
          <w:szCs w:val="28"/>
        </w:rPr>
        <w:t>контролера-администратора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после чего автотранспорт должен покинуть территорию </w:t>
      </w:r>
      <w:r w:rsidR="00681921">
        <w:rPr>
          <w:rFonts w:ascii="Times New Roman" w:hAnsi="Times New Roman" w:cs="Times New Roman"/>
          <w:color w:val="000000"/>
          <w:sz w:val="28"/>
          <w:szCs w:val="28"/>
        </w:rPr>
        <w:t>МКД</w:t>
      </w:r>
      <w:r>
        <w:rPr>
          <w:rFonts w:ascii="Times New Roman" w:hAnsi="Times New Roman" w:cs="Times New Roman"/>
          <w:color w:val="000000"/>
          <w:sz w:val="28"/>
          <w:szCs w:val="28"/>
        </w:rPr>
        <w:t>. Стоянка без проведения работ по погрузке/разгрузке автотранспорта во дворе дома более 30 минут запрещена!</w:t>
      </w:r>
    </w:p>
    <w:p w14:paraId="2E801724" w14:textId="77777777" w:rsidR="003C2ADF" w:rsidRDefault="003C2ADF" w:rsidP="003C2ADF">
      <w:pPr>
        <w:numPr>
          <w:ilvl w:val="1"/>
          <w:numId w:val="2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придомовой территории категорически запрещается:</w:t>
      </w:r>
    </w:p>
    <w:p w14:paraId="0304868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3.2.1. наезжать на бордюрные камни, пешеходные дорожки, территорию детской площадки, ландшафтное озеленение и в зоны отдыха/спорта;</w:t>
      </w:r>
    </w:p>
    <w:p w14:paraId="5FA91F89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3.2.2. перекрывать пути вывоза/выноса мусорных контейнеров;</w:t>
      </w:r>
    </w:p>
    <w:p w14:paraId="762BC3B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3.2.3. перекрывать другие автотранспортные средства, ограничивая возможность их маневра для въезда/выезда;</w:t>
      </w:r>
    </w:p>
    <w:p w14:paraId="07FFC7AE" w14:textId="7F29674F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3.2.4. перекрывать пути въезда и выезда с придомовой территории, а также пешеходные дорожки;</w:t>
      </w:r>
    </w:p>
    <w:p w14:paraId="7A9C1847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3.2.5. двигаться по территории и проезжать через шлагбаумы со скоростью более 10 км/час;</w:t>
      </w:r>
    </w:p>
    <w:p w14:paraId="515C533A" w14:textId="5CC9252E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3.2.6. погрузка/разгрузка крупногабаритного груза после 22:00 и до 07:00 включительно;</w:t>
      </w:r>
    </w:p>
    <w:p w14:paraId="5DF1C697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3.2.7. проводить мойку и ремонт транспортных средств, слив и замену эксплуатационных жидкостей, пользоваться неисправной автомобильной сигнализацией. Допускается мелкий ремонт транспортных средств, не приводящий к загрязнению придомовой территории, а именно: подзарядка аккумулятора, замена свечей и т.п.;</w:t>
      </w:r>
    </w:p>
    <w:p w14:paraId="1F5C65A0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3.2.8. остановка/стоянка автотранспортного средства с работающим двигателем (в т.ч. на период кратковременной погрузки/разгрузки),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издавать сигналы клаксона, за исключением случаев, предусмотренных Правилами дорожного движения;</w:t>
      </w:r>
    </w:p>
    <w:p w14:paraId="36B36BA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3.2.9. стоянка грузовых автотранспортных средств с разрешенной максимальной массой более 3,5 т;</w:t>
      </w:r>
    </w:p>
    <w:p w14:paraId="1C35351E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3.2.10. </w:t>
      </w:r>
      <w:r w:rsidRPr="00A16588">
        <w:rPr>
          <w:rFonts w:ascii="Times New Roman" w:hAnsi="Times New Roman" w:cs="Times New Roman"/>
          <w:color w:val="000000"/>
          <w:sz w:val="28"/>
          <w:szCs w:val="28"/>
        </w:rPr>
        <w:t>стоянка транспортных средств, не являющихся личным транспортом жильцов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437EC3" w14:textId="77777777" w:rsidR="003C2ADF" w:rsidRPr="000F72E6" w:rsidRDefault="003C2ADF" w:rsidP="003C2ADF">
      <w:pPr>
        <w:numPr>
          <w:ilvl w:val="1"/>
          <w:numId w:val="2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избежание порчи общедомового имущества (коридорная плитка, отделка стен, откосы дверей, лифты) занос/вынос тяжелых грузов производится строго с использованием тележек на надувных колесах, а крупногабаритного груза через широко открытые створки дверей.</w:t>
      </w:r>
    </w:p>
    <w:p w14:paraId="7862E7E3" w14:textId="77777777" w:rsidR="003C2ADF" w:rsidRDefault="003C2ADF" w:rsidP="003C2ADF">
      <w:pPr>
        <w:spacing w:after="0"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6E2A2" w14:textId="77777777" w:rsidR="003C2ADF" w:rsidRDefault="003C2ADF" w:rsidP="003C2ADF">
      <w:pPr>
        <w:spacing w:after="0" w:line="257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Последствия нарушения регламента</w:t>
      </w:r>
    </w:p>
    <w:p w14:paraId="57111B5F" w14:textId="0CB98D2C" w:rsidR="003C2ADF" w:rsidRPr="00FF0DEC" w:rsidRDefault="003C2ADF" w:rsidP="003C2ADF">
      <w:pPr>
        <w:numPr>
          <w:ilvl w:val="1"/>
          <w:numId w:val="3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Владелец автотранспортного средства, по своей вине повредивший ограждающие устройства/его элементы или иные малые архитектурные формы может быть ограничен в праве въезда автотранспортного средства на придомовую территорию до компенсации причиненного им ущерба.</w:t>
      </w:r>
    </w:p>
    <w:p w14:paraId="4653E008" w14:textId="77777777" w:rsidR="003C2ADF" w:rsidRDefault="003C2ADF" w:rsidP="003C2ADF">
      <w:pPr>
        <w:numPr>
          <w:ilvl w:val="1"/>
          <w:numId w:val="3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Собственник или его представитель, повредившие, общедомовое имущество в процессе погрузки/разгрузки может быть ограничен в праве въезда автотранспортных средств на придомовую территорию до компенсации причиненного им ущерба.</w:t>
      </w:r>
    </w:p>
    <w:p w14:paraId="1AC6688D" w14:textId="77777777" w:rsidR="003C2ADF" w:rsidRDefault="003C2ADF" w:rsidP="003C2ADF">
      <w:pPr>
        <w:numPr>
          <w:ilvl w:val="1"/>
          <w:numId w:val="3"/>
        </w:numPr>
        <w:spacing w:after="0" w:line="257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настоящего регламента, к нарушителям, автоматически применяются следующие санкции:</w:t>
      </w:r>
    </w:p>
    <w:p w14:paraId="48A5B44D" w14:textId="7A5F27CE" w:rsidR="003C2ADF" w:rsidRDefault="00681921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C2ADF">
        <w:rPr>
          <w:rFonts w:ascii="Times New Roman" w:hAnsi="Times New Roman" w:cs="Times New Roman"/>
          <w:color w:val="000000"/>
          <w:sz w:val="28"/>
          <w:szCs w:val="28"/>
        </w:rPr>
        <w:t>предупреждение (при первичном и однократном нарушении);</w:t>
      </w:r>
    </w:p>
    <w:p w14:paraId="1802C7F7" w14:textId="6A9053B1" w:rsidR="003C2ADF" w:rsidRDefault="00681921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ADF">
        <w:rPr>
          <w:rFonts w:ascii="Times New Roman" w:hAnsi="Times New Roman" w:cs="Times New Roman"/>
          <w:sz w:val="28"/>
          <w:szCs w:val="28"/>
        </w:rPr>
        <w:t>запрет на въезд сроком на 1 месяц (при вторичном нарушении);</w:t>
      </w:r>
    </w:p>
    <w:p w14:paraId="3DBE07FA" w14:textId="78014D2F" w:rsidR="003C2ADF" w:rsidRDefault="00681921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ADF">
        <w:rPr>
          <w:rFonts w:ascii="Times New Roman" w:hAnsi="Times New Roman" w:cs="Times New Roman"/>
          <w:sz w:val="28"/>
          <w:szCs w:val="28"/>
        </w:rPr>
        <w:t>запрет на въезд сроком на 3 месяца (при неоднократном нарушении).</w:t>
      </w:r>
    </w:p>
    <w:p w14:paraId="3E44D2F8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Санкции оформляются записью в журнале за подписью установившего нарушение сотрудника Управляющей компании.</w:t>
      </w:r>
    </w:p>
    <w:p w14:paraId="715E4311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4.5. Нарушитель должен быть уведомлен любым доступным средством о применении к нему вышеуказанной санкции не позднее, чем за 24 часа до ее введения в действие. </w:t>
      </w:r>
    </w:p>
    <w:p w14:paraId="483FCE40" w14:textId="77777777" w:rsidR="003C2ADF" w:rsidRPr="00967FBD" w:rsidRDefault="003C2ADF" w:rsidP="003C2AD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3674" w14:textId="77777777" w:rsidR="003C2ADF" w:rsidRDefault="003C2ADF" w:rsidP="003C2ADF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Персональные данные</w:t>
      </w:r>
    </w:p>
    <w:p w14:paraId="4BADEBBD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Лица, ответственные за эксплуатацию МКД, вправе осуществлять сбор, обработку и хранение следующих персональных данных:</w:t>
      </w:r>
    </w:p>
    <w:p w14:paraId="6A398534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Фамилия, Имя, Отчество;</w:t>
      </w:r>
    </w:p>
    <w:p w14:paraId="3BB80A09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Номер квартиры/помещения;</w:t>
      </w:r>
    </w:p>
    <w:p w14:paraId="1E65D58F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Номера телефонов;</w:t>
      </w:r>
    </w:p>
    <w:p w14:paraId="43BEA411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 Государственные регистрационные номера транспортных средств;</w:t>
      </w:r>
    </w:p>
    <w:p w14:paraId="03A90735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5.1.5. </w:t>
      </w:r>
      <w:r w:rsidRPr="00A16588">
        <w:rPr>
          <w:rFonts w:ascii="Times New Roman" w:hAnsi="Times New Roman" w:cs="Times New Roman"/>
          <w:color w:val="000000"/>
          <w:sz w:val="28"/>
          <w:szCs w:val="28"/>
        </w:rPr>
        <w:t>Данных правоустанавливающих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686265E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Сбор, обработка и хранение персональных данных могут осуществляться исключительно в целях, изложенных в настоящем Регламенте.</w:t>
      </w:r>
    </w:p>
    <w:p w14:paraId="637A9AC5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Хранение персональных данных на бумажных носителях производится в месте, недоступном для третьих лиц.</w:t>
      </w:r>
    </w:p>
    <w:p w14:paraId="7190615D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Персональные данные на электронных носителях должны быть защищены паролями и недоступны третьим лицам.</w:t>
      </w:r>
    </w:p>
    <w:p w14:paraId="4AF418E8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Передача персональных данных третьим лицам допустима только в следующих случаях:</w:t>
      </w:r>
    </w:p>
    <w:p w14:paraId="116C5A52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5.5.1. при согласии субъекта персональных данных;</w:t>
      </w:r>
    </w:p>
    <w:p w14:paraId="04D1ADB2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5.5.2. по запросу правоохранительных или судебных органов;</w:t>
      </w:r>
    </w:p>
    <w:p w14:paraId="7B013816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5.5.3. при сообщении правоохранительным органам об уголовно наказуемом деянии. При любом случае передачи персональных данных третьим лицам уведомление об этом субъекта персональных данных обязательно.</w:t>
      </w:r>
    </w:p>
    <w:p w14:paraId="78D1AD8F" w14:textId="77777777" w:rsidR="003C2ADF" w:rsidRDefault="003C2ADF" w:rsidP="003C2ADF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0F72E6">
        <w:rPr>
          <w:rFonts w:ascii="Times New Roman" w:hAnsi="Times New Roman"/>
          <w:sz w:val="28"/>
          <w:szCs w:val="28"/>
        </w:rPr>
        <w:t>О смене транспортного средства либо его регистрационных номеров жилец обязан заблаговременно (до начала проезда через шлагбаум) уведомить лицо, ответственное за эксплуатацию, и удостовериться во внесении изменений в реестр.</w:t>
      </w:r>
    </w:p>
    <w:p w14:paraId="1EFC33AC" w14:textId="2BA42B35" w:rsidR="00681921" w:rsidRPr="00681921" w:rsidRDefault="003C2ADF" w:rsidP="00681921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681921" w:rsidRPr="00681921" w:rsidSect="00681921">
          <w:pgSz w:w="11906" w:h="16838"/>
          <w:pgMar w:top="715" w:right="850" w:bottom="512" w:left="1417" w:header="720" w:footer="720" w:gutter="0"/>
          <w:cols w:space="720"/>
          <w:docGrid w:linePitch="360" w:charSpace="-2049"/>
        </w:sectPr>
      </w:pPr>
      <w:r>
        <w:rPr>
          <w:rFonts w:ascii="Times New Roman" w:hAnsi="Times New Roman"/>
          <w:sz w:val="28"/>
          <w:szCs w:val="28"/>
        </w:rPr>
        <w:t xml:space="preserve">5.7. Субъект персональных данных дает согласие на их сбор, обработку и хранение </w:t>
      </w:r>
      <w:r w:rsidR="00681921">
        <w:rPr>
          <w:rFonts w:ascii="Times New Roman" w:hAnsi="Times New Roman"/>
          <w:sz w:val="28"/>
          <w:szCs w:val="28"/>
        </w:rPr>
        <w:t>для целей, определенных настоящим Регламентом</w:t>
      </w:r>
      <w:r w:rsidR="00B07E22">
        <w:rPr>
          <w:rFonts w:ascii="Times New Roman" w:hAnsi="Times New Roman"/>
          <w:sz w:val="28"/>
          <w:szCs w:val="28"/>
        </w:rPr>
        <w:t>.</w:t>
      </w:r>
    </w:p>
    <w:p w14:paraId="7B717336" w14:textId="77777777" w:rsidR="003C2ADF" w:rsidRDefault="003C2ADF"/>
    <w:sectPr w:rsidR="003C2ADF" w:rsidSect="00D6123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44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2FE0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88F48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DF"/>
    <w:rsid w:val="000345EA"/>
    <w:rsid w:val="0004571C"/>
    <w:rsid w:val="003C2ADF"/>
    <w:rsid w:val="004E60A3"/>
    <w:rsid w:val="00681921"/>
    <w:rsid w:val="007343B8"/>
    <w:rsid w:val="00B06D8C"/>
    <w:rsid w:val="00B07E22"/>
    <w:rsid w:val="00D6123B"/>
    <w:rsid w:val="00E27AD1"/>
    <w:rsid w:val="00E5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F8E0"/>
  <w15:chartTrackingRefBased/>
  <w15:docId w15:val="{61EDD970-BFD3-1741-9370-62DA24BC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ADF"/>
    <w:pPr>
      <w:suppressAutoHyphens/>
      <w:spacing w:after="160" w:line="256" w:lineRule="auto"/>
    </w:pPr>
    <w:rPr>
      <w:rFonts w:ascii="Calibri" w:eastAsia="SimSun" w:hAnsi="Calibri" w:cs="font1447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3C2AD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2A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RibengewA@outlook.com</dc:creator>
  <cp:keywords/>
  <dc:description/>
  <cp:lastModifiedBy>marat azimov</cp:lastModifiedBy>
  <cp:revision>2</cp:revision>
  <dcterms:created xsi:type="dcterms:W3CDTF">2025-09-19T14:28:00Z</dcterms:created>
  <dcterms:modified xsi:type="dcterms:W3CDTF">2025-09-19T14:28:00Z</dcterms:modified>
</cp:coreProperties>
</file>